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tbl>
      <w:tblPr>
        <w:tblW w:w="243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703"/>
        <w:gridCol w:w="2786"/>
        <w:gridCol w:w="5397"/>
        <w:gridCol w:w="1480"/>
        <w:gridCol w:w="8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vAlign w:val="top"/>
          </w:tcPr>
          <w:p>
            <w:pPr>
              <w:keepNext w:val="0"/>
              <w:keepLines w:val="0"/>
              <w:widowControl/>
              <w:suppressLineNumbers w:val="0"/>
              <w:spacing w:before="0" w:beforeAutospacing="0" w:after="0" w:afterAutospacing="0" w:line="375" w:lineRule="atLeast"/>
              <w:ind w:left="0" w:right="0"/>
              <w:jc w:val="center"/>
              <w:textAlignment w:val="baseline"/>
            </w:pP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30.05</w:t>
            </w:r>
          </w:p>
        </w:tc>
        <w:tc>
          <w:tcPr>
            <w:tcW w:w="0" w:type="auto"/>
            <w:tcBorders>
              <w:top w:val="single" w:color="DDDDDD" w:sz="6" w:space="0"/>
              <w:left w:val="single" w:color="DDDDDD" w:sz="6" w:space="0"/>
              <w:bottom w:val="single" w:color="DDDDDD" w:sz="6" w:space="0"/>
              <w:right w:val="single" w:color="DDDDDD" w:sz="6" w:space="0"/>
            </w:tcBorders>
            <w:shd w:val="clear"/>
            <w:vAlign w:val="top"/>
          </w:tcPr>
          <w:p>
            <w:pPr>
              <w:keepNext w:val="0"/>
              <w:keepLines w:val="0"/>
              <w:widowControl/>
              <w:suppressLineNumbers w:val="0"/>
              <w:spacing w:before="0" w:beforeAutospacing="0" w:after="0" w:afterAutospacing="0" w:line="375" w:lineRule="atLeast"/>
              <w:ind w:left="0" w:right="0"/>
              <w:jc w:val="center"/>
              <w:textAlignment w:val="baseline"/>
            </w:pPr>
            <w:r>
              <w:rPr>
                <w:rFonts w:ascii="宋体" w:hAnsi="宋体" w:eastAsia="宋体" w:cs="宋体"/>
                <w:kern w:val="0"/>
                <w:sz w:val="24"/>
                <w:szCs w:val="24"/>
                <w:bdr w:val="none" w:color="auto" w:sz="0" w:space="0"/>
                <w:vertAlign w:val="baseline"/>
                <w:lang w:val="en-US" w:eastAsia="zh-CN" w:bidi="ar"/>
              </w:rPr>
              <w:t>84</w:t>
            </w:r>
          </w:p>
        </w:tc>
        <w:tc>
          <w:tcPr>
            <w:tcW w:w="0" w:type="auto"/>
            <w:tcBorders>
              <w:top w:val="single" w:color="DDDDDD" w:sz="6" w:space="0"/>
              <w:left w:val="single" w:color="DDDDDD" w:sz="6" w:space="0"/>
              <w:bottom w:val="single" w:color="DDDDDD" w:sz="6" w:space="0"/>
              <w:right w:val="single" w:color="DDDDDD" w:sz="6" w:space="0"/>
            </w:tcBorders>
            <w:shd w:val="clear"/>
            <w:vAlign w:val="top"/>
          </w:tcPr>
          <w:p>
            <w:pPr>
              <w:keepNext w:val="0"/>
              <w:keepLines w:val="0"/>
              <w:widowControl/>
              <w:suppressLineNumbers w:val="0"/>
              <w:spacing w:before="0" w:beforeAutospacing="0" w:after="0" w:afterAutospacing="0" w:line="375" w:lineRule="atLeast"/>
              <w:ind w:left="0" w:right="0"/>
              <w:jc w:val="center"/>
              <w:textAlignment w:val="baseline"/>
            </w:pPr>
            <w:r>
              <w:rPr>
                <w:rFonts w:ascii="宋体" w:hAnsi="宋体" w:eastAsia="宋体" w:cs="宋体"/>
                <w:kern w:val="0"/>
                <w:sz w:val="24"/>
                <w:szCs w:val="24"/>
                <w:bdr w:val="none" w:color="auto" w:sz="0" w:space="0"/>
                <w:vertAlign w:val="baseline"/>
                <w:lang w:val="en-US" w:eastAsia="zh-CN" w:bidi="ar"/>
              </w:rPr>
              <w:t>0.84</w:t>
            </w:r>
          </w:p>
        </w:tc>
        <w:tc>
          <w:tcPr>
            <w:tcW w:w="0" w:type="auto"/>
            <w:tcBorders>
              <w:top w:val="single" w:color="DDDDDD" w:sz="6" w:space="0"/>
              <w:left w:val="single" w:color="DDDDDD" w:sz="6" w:space="0"/>
              <w:bottom w:val="single" w:color="DDDDDD" w:sz="6" w:space="0"/>
              <w:right w:val="single" w:color="DDDDDD" w:sz="6" w:space="0"/>
            </w:tcBorders>
            <w:shd w:val="clear"/>
            <w:vAlign w:val="top"/>
          </w:tcPr>
          <w:p>
            <w:pPr>
              <w:keepNext w:val="0"/>
              <w:keepLines w:val="0"/>
              <w:widowControl/>
              <w:suppressLineNumbers w:val="0"/>
              <w:spacing w:before="0" w:beforeAutospacing="0" w:after="0" w:afterAutospacing="0" w:line="375" w:lineRule="atLeast"/>
              <w:ind w:left="0" w:right="0"/>
              <w:jc w:val="center"/>
              <w:textAlignment w:val="baseline"/>
            </w:pPr>
            <w:r>
              <w:rPr>
                <w:rFonts w:ascii="宋体" w:hAnsi="宋体" w:eastAsia="宋体" w:cs="宋体"/>
                <w:kern w:val="0"/>
                <w:sz w:val="24"/>
                <w:szCs w:val="24"/>
                <w:bdr w:val="none" w:color="auto" w:sz="0" w:space="0"/>
                <w:vertAlign w:val="baseline"/>
                <w:lang w:val="en-US" w:eastAsia="zh-CN" w:bidi="ar"/>
              </w:rPr>
              <w:t>Y</w:t>
            </w:r>
          </w:p>
        </w:tc>
        <w:tc>
          <w:tcPr>
            <w:tcW w:w="0" w:type="auto"/>
            <w:tcBorders>
              <w:top w:val="single" w:color="DDDDDD" w:sz="6" w:space="0"/>
              <w:left w:val="single" w:color="DDDDDD" w:sz="6" w:space="0"/>
              <w:bottom w:val="single" w:color="DDDDDD" w:sz="6" w:space="0"/>
              <w:right w:val="single" w:color="DDDDDD" w:sz="6" w:space="0"/>
            </w:tcBorders>
            <w:shd w:val="clear"/>
            <w:vAlign w:val="top"/>
          </w:tcPr>
          <w:p>
            <w:pPr>
              <w:keepNext w:val="0"/>
              <w:keepLines w:val="0"/>
              <w:widowControl/>
              <w:suppressLineNumbers w:val="0"/>
              <w:spacing w:before="0" w:beforeAutospacing="0" w:after="0" w:afterAutospacing="0" w:line="375" w:lineRule="atLeast"/>
              <w:ind w:left="0" w:right="0"/>
              <w:jc w:val="center"/>
              <w:textAlignment w:val="baseline"/>
            </w:pPr>
            <w:r>
              <w:rPr>
                <w:rFonts w:ascii="宋体" w:hAnsi="宋体" w:eastAsia="宋体" w:cs="宋体"/>
                <w:kern w:val="0"/>
                <w:sz w:val="24"/>
                <w:szCs w:val="24"/>
                <w:bdr w:val="none" w:color="auto" w:sz="0" w:space="0"/>
                <w:vertAlign w:val="baseline"/>
                <w:lang w:val="en-US" w:eastAsia="zh-CN" w:bidi="ar"/>
              </w:rPr>
              <w:t>已评卷</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以下机构在直升机模型中出现的有？（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顶部旋翼</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尾浆</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试题编号：20230309182926738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关于齿轮说法正确的有？（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垂直啮合的两个齿轮旋转轴相互平行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垂直啮合的两个齿轮旋转轴相互垂直</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平行啮合的两个齿轮旋转轴相互平行</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平行啮合的两个齿轮转向相反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试题编号：20230309182926879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下列关于直升机尾浆说法正确的有？（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当尾浆失灵时，直升机会自旋</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起到美观的作用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起到平衡的作用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没有任何作用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试题编号：20230309182926785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下列关于电动机的说法正确的是？（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使用电动机要给它通电</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使用电动机不需给它通电</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电动机是用来发电的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29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pPr>
                    <w:rPr>
                      <w:rFonts w:hint="eastAsia" w:ascii="宋体"/>
                      <w:sz w:val="24"/>
                      <w:szCs w:val="24"/>
                    </w:rPr>
                  </w:pP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电动机将电能转化为机械能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试题编号：20230309182926832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3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请考生制作一个电动直升机模型。</w:t>
            </w: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具备电动直升机模型模型大体框架；</w:t>
            </w:r>
            <w:r>
              <w:rPr>
                <w:bdr w:val="none" w:color="auto" w:sz="0" w:space="0"/>
                <w:vertAlign w:val="baseline"/>
              </w:rPr>
              <w:br w:type="textWrapping"/>
            </w:r>
            <w:r>
              <w:rPr>
                <w:bdr w:val="none" w:color="auto" w:sz="0" w:space="0"/>
                <w:vertAlign w:val="baseline"/>
              </w:rPr>
              <w:t>(b) 采用垂直啮合的齿轮传动；</w:t>
            </w:r>
            <w:r>
              <w:rPr>
                <w:bdr w:val="none" w:color="auto" w:sz="0" w:space="0"/>
                <w:vertAlign w:val="baseline"/>
              </w:rPr>
              <w:br w:type="textWrapping"/>
            </w:r>
            <w:r>
              <w:rPr>
                <w:bdr w:val="none" w:color="auto" w:sz="0" w:space="0"/>
                <w:vertAlign w:val="baseline"/>
              </w:rPr>
              <w:t>(c) 具备表示顶部旋翼，尾浆等的部件；</w:t>
            </w:r>
            <w:r>
              <w:rPr>
                <w:bdr w:val="none" w:color="auto" w:sz="0" w:space="0"/>
                <w:vertAlign w:val="baseline"/>
              </w:rPr>
              <w:br w:type="textWrapping"/>
            </w:r>
            <w:r>
              <w:rPr>
                <w:bdr w:val="none" w:color="auto" w:sz="0" w:space="0"/>
                <w:vertAlign w:val="baseline"/>
              </w:rPr>
              <w:t>(d) 开启电动机，顶部旋翼可以旋转；</w:t>
            </w:r>
            <w:r>
              <w:rPr>
                <w:bdr w:val="none" w:color="auto" w:sz="0" w:space="0"/>
                <w:vertAlign w:val="baseline"/>
              </w:rPr>
              <w:br w:type="textWrapping"/>
            </w:r>
            <w:r>
              <w:rPr>
                <w:bdr w:val="none" w:color="auto" w:sz="0" w:space="0"/>
                <w:vertAlign w:val="baseline"/>
              </w:rPr>
              <w:t>(e) 整体动作流畅。</w:t>
            </w: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60"/>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61"/>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试题编号：2022zrsc2-1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bl>
    <w:p>
      <w:pP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63412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2023-04-11T02:24:26Z</dcterms:created>
  <dc:creator>admin</dc:creator>
  <cp:lastModifiedBy>刘梦婷</cp:lastModifiedBy>
  <dcterms:modified xsi:type="dcterms:W3CDTF">2023-04-11T02:25:08Z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68778E70ECFE4413B86D4B4A0557087A_12</vt:lpwstr>
  </property>
</Properties>
</file>