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青少年机器人技术等级考试实际操作试卷（三级）</w:t>
      </w:r>
    </w:p>
    <w:p>
      <w:pPr>
        <w:jc w:val="center"/>
      </w:pPr>
      <w:r>
        <w:t xml:space="preserve">分数：100.00            题数：1</w:t>
      </w:r>
    </w:p>
    <w:p>
      <w:pPr/>
      <w:r>
        <w:t xml:space="preserve"/>
      </w:r>
    </w:p>
    <w:p>
      <w:pPr/>
      <w:r>
        <w:rPr>
          <w:sz w:val="32"/>
        </w:rPr>
        <w:t xml:space="preserve">一、试题说明</w:t>
      </w:r>
      <w:r>
        <w:t xml:space="preserve">（共1题，共100分）</w:t>
      </w:r>
    </w:p>
    <w:p>
      <w:pPr/>
      <w:r>
        <w:t xml:space="preserve">1. </w:t>
      </w:r>
    </w:p>
    <w:p>
      <w:pPr/>
      <w:r>
        <w:t xml:space="preserve">
	</w:t>
      </w:r>
      <w:r>
        <w:rPr>
          <w:rFonts w:ascii="simsun"/>
          <w:b/>
          <w:sz w:val="28"/>
        </w:rPr>
        <w:t xml:space="preserve">主题：时间可调自助红绿灯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器件：Atmega328P主控板1块，交通灯模块2个，电位器模块1个，按键模块1个，蜂鸣器模块1个。以上模块也可使用分立器件结合面包板搭建。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rPr>
          <w:rFonts w:ascii="simsun"/>
          <w:b/>
          <w:sz w:val="28"/>
        </w:rPr>
        <w:t xml:space="preserve">任务要求：&amp;nbsp;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(1) 当自助式红绿灯的按钮没有被按下时，主路显示为绿灯,人行道显示为红灯。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(2) 当按钮被按下后，主路的绿灯延时2秒后由绿灯经黄灯转换为红灯。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(3) 当主路为红灯时，人行道的绿灯点亮并闪烁，闪烁时间间隔为500毫秒。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(4) 人行道的通行时间为8秒~12秒，可以通过电位器调整，并将当前的通行时间显示在串口监视器上。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(5) 当人行道的绿灯还剩余4秒时，绿灯快速闪烁，闪烁时间间隔为250毫秒，提醒行人快速通过。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(6) 当人行道的绿灯还剩余4秒，绿灯快速闪烁的同时，声音提醒。声音提醒的方式选用蜂鸣器模块。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(7) 人行道通行时间结束，人行道红灯点亮，主路绿灯点亮，蜂鸣器静音。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(8) 根据上述要求，绘制流程图。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(9) 未作规定处可自行处理，无明显与事实违背即可。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(10) 程序编写过程中不得打开库例程和其它程序，如发现，实操成绩按照0分处理。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rPr>
          <w:rFonts w:ascii="simsun"/>
          <w:b/>
          <w:sz w:val="28"/>
        </w:rPr>
        <w:t xml:space="preserve">说明：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请考生在考试结束前，按如下要求提交程序文件：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(1) 将所有程序放在一个文件夹，并将文件夹命名为：</w:t>
      </w:r>
      <w:r>
        <w:rPr>
          <w:color w:val="e53333"/>
        </w:rPr>
        <w:t xml:space="preserve">DJKS3_身份证号</w:t>
      </w:r>
      <w:r>
        <w:t xml:space="preserve">；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(2) 将程序文件压缩为</w:t>
      </w:r>
      <w:r>
        <w:rPr>
          <w:color w:val="e53333"/>
        </w:rPr>
        <w:t xml:space="preserve">1个</w:t>
      </w:r>
      <w:r>
        <w:t xml:space="preserve">文件，“</w:t>
      </w:r>
      <w:r>
        <w:rPr>
          <w:color w:val="e53333"/>
        </w:rPr>
        <w:t xml:space="preserve">rar或zip</w:t>
      </w:r>
      <w:r>
        <w:t xml:space="preserve">”格式，大小</w:t>
      </w:r>
      <w:r>
        <w:rPr>
          <w:color w:val="e53333"/>
        </w:rPr>
        <w:t xml:space="preserve">5M</w:t>
      </w:r>
      <w:r>
        <w:t xml:space="preserve">以下；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(3) 将程序文件通过“</w:t>
      </w:r>
      <w:r>
        <w:rPr>
          <w:color w:val="e53333"/>
        </w:rPr>
        <w:t xml:space="preserve">上传附件</w:t>
      </w:r>
      <w:r>
        <w:t xml:space="preserve">”按钮进行上传。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rFonts w:ascii="simsun"/>
          <w:sz w:val="28"/>
        </w:rPr>
      </w:r>
    </w:p>
    <w:p>
      <w:pPr/>
      <w:r>
        <w:t xml:space="preserve">
</w:t>
      </w:r>
      <w:r>
        <w:t xml:space="preserve"> 
</w:t>
      </w:r>
      <w:r/>
    </w:p>
    <w:p>
      <w:pPr/>
      <w:r>
        <w:t xml:space="preserve">题型：附件题</w:t>
      </w:r>
    </w:p>
    <w:p>
      <w:pPr/>
      <w:r>
        <w:t xml:space="preserve">答案：</w:t>
      </w:r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2021-09-12T08:23:33Z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