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青少年机器人技术等级考试实际操作试卷（四级）-测评师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一、电路搭设(共1题，共20分)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原器件：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（1）作品包含超声波传感器（2分）；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（2）作品包含2个LED（2分）；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（3）作品包含直流马达（2分）；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（4）作品包含红外线接收/发送设备（2分）。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（5）超声波传感器和主控板连接正确（3分）；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（6）直流马达和马达驱动模块连接正确（3分）；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（7）马达驱动模块和主控板连接正确（3分），如主控板集成马达驱动模块，默认连接正确；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试题编号：2021031104sc-1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二、功能实现(共1题，共80分)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（1）实现通过红外遥控启动机器人，小车静止，LED A和LED B点亮（16分）；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（2）实现通过红外遥控，控制机器人前进，前进时LED A点亮，LED B熄灭（16分）；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（3）实现通过超声波传感器检测障碍物，当机器人距离障碍物8cm时停止（16分）；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（4）实现机器人停止后，LED A点亮，LED B闪烁（16分）；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（5）实现通过红外遥控，控制机器人停止所有动作，LED A和LED B熄灭（16分）。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9E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2021-04-09T07:35:05Z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BAA15D0E00014DC2889B1B85B52AA682</vt:lpwstr>
  </property>
</Properties>
</file>