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sz w:val="28"/>
          <w:szCs w:val="18"/>
        </w:rPr>
      </w:pPr>
      <w:r>
        <w:rPr>
          <w:rFonts w:hint="eastAsia"/>
          <w:sz w:val="28"/>
          <w:szCs w:val="18"/>
        </w:rPr>
        <w:t>全国青少年机器人技术等</w:t>
      </w:r>
      <w:bookmarkStart w:id="0" w:name="_GoBack"/>
      <w:bookmarkEnd w:id="0"/>
      <w:r>
        <w:rPr>
          <w:rFonts w:hint="eastAsia"/>
          <w:sz w:val="28"/>
          <w:szCs w:val="18"/>
        </w:rPr>
        <w:t>级考试实际操作试卷（三级）测试卷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一、实操编程题(共1题，每题100分，共100分)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搭建说明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器件：</w:t>
            </w:r>
            <w:r>
              <w:rPr>
                <w:rFonts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按键模块一个，电位器模块一个，舵机一个。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sz w:val="24"/>
                <w:szCs w:val="24"/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（1）当按键模块按下时，舵机在45度至135度之间循环摆动；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（2）旋转电位器，调节舵机循环摆动的速度；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（3）当按键模块断开时，舵机停止摆动；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（4）未作规定处可自行处理，无明显与事实违背即可。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E2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4F074189AA7E4154AECA1FA815F441E0</vt:lpwstr>
  </property>
</Properties>
</file>